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Data Processing Addendum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Data Processing Addendum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DPA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forms part of the electronic agreement for the purchase of the Vendor Service as identified in such agreement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Principal Agreement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between: (i) Quality Unit, s.r.o., Vajnorská 100/A, 83104 Bratislava, Slovakia (European Union)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Processor”)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(ii)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insert your company legal name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address]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Data Controller and Vendor are each a “Party” and collectively, the “Parties”.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as modified below, the terms of the Principal Agreement shall remain in full force and effect.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consideration of the mutual obligations set out herein, the parties hereby agree that: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terms and conditions set out below shall be added as an addendum to the Principal Agreement.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where the context requires otherwise, references in this DPA to the Principal Agreement are to the Principal Agreement as amended by, and including, this DPA.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DEFINITIONS AND INTERPRETATION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this DPA, the following terms shall have the meanings set out below and cognate terms shall be construed accordingly: Company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GDPR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EU General Data Protection Regulation 2016/679;</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Commission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Controller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Processor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Subject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 State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Data Breach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Processing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Supervisory Authority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have the same meaning as in the GDPR, and their cognate terms shall be construed accordingly;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 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any Personal Data Processed by a Processor on behalf of Data Controller pursuant to or in connection with the Principal Agreement;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Standard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Contractual Clauses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European Commission’s Implementing Decision of 4 June 2021 on standard contractual clauses for the transfer of personal data to processors established in third countries pursuant to Regulation (EU) 2016/679 of the European Parliament and of the Council;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Subprocessor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any person appointed by or on behalf of Vendor to Process Personal Data on behalf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connection with the Principal Agreement; and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International Organisation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an organisation and its subordinate bodies governed by public international law, or any other body which is set up by, or on the basis of, an agreement between two or more countries (see Article 4(26) of the GDPR);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‘Appropriate Safeguards’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such legally enforceable mechanism(s) for transfers of Personal Data as may be permitted under the applicable data protection laws from time to time.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include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construed to mean include without limitation, and cognate terms shall be construed accordingly.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u8jcjze1r5h"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Capitalized terms not otherwise defined herein shall have the meaning given to them in the Principal Agreement.</w:t>
        <w:br w:type="textWrapping"/>
        <w:br w:type="textWrapp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PROCESSING OF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PERSONAL DATA</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ornx9ba6w6jw"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Role of the Parties.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Parties acknowledge and agree that with regard to the Processing of Personal Data,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the Controller, Vendor is the Processor and that Vendor will only engage Subprocessors pursuant to the requirements set out in Clause 5 Subprocessors below.</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Controller’s Processing of 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Data Controller shall, in its use of the Services and instructions to Vendor:</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 with all applicable data protection laws in the Processing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and</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sole responsibility for the accuracy, quality and legality of Personal Data and the means by which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acquired Personal Data. </w:t>
      </w:r>
    </w:p>
    <w:p w:rsidR="00000000" w:rsidDel="00000000" w:rsidP="00000000" w:rsidRDefault="00000000" w:rsidRPr="00000000" w14:paraId="0000001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Vendor’s Processing of 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 with all applicable data protection laws in the Processing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and shall not by any act or omission cause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any other person) to be in breach of any applicable data protection laws; and</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treat Personal Data as Confidential Information; and</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Process and shall ensure each person acting under its authority shall Process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only on the relevant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documented instructions unless Processing is required by applicable laws to which the relevant Processor is subject, in which case Vendor shall to the extent permitted by applicable laws inform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that legal requirement before the relevant Processing of that Personal Data, and</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immediately inform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writing if, in the Vendor’s opinion, a Processing instruction infringes the applicable data protection laws or any other applicable laws relating to data protection and explain the reasons for its opinion, provided that this shall be without prejudice to clause 2.3.a). </w:t>
      </w:r>
    </w:p>
    <w:p w:rsidR="00000000" w:rsidDel="00000000" w:rsidP="00000000" w:rsidRDefault="00000000" w:rsidRPr="00000000" w14:paraId="0000001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dmbmx39q8al7" w:id="2"/>
      <w:bookmarkEnd w:id="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Purposes of Processing.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instructs Vendor (and authorises Vendor to instruct each Subprocessor) to Process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for the provision of the Services and consistent with the Principal Agreement;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mvyzcw8uoj55"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Details of the Processing.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Annex 1 to this DPA sets out certain information regarding the Processors' Processing of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as required by article 28(3) of the GDPR (and, possibly, equivalent requirements of other applicable data protection laws).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heading=h.g9hlut7x47ro" w:id="4"/>
      <w:bookmarkEnd w:id="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SUBJECT RIGHTS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a8qiyyeh7qdn" w:id="5"/>
      <w:bookmarkEnd w:id="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Subject Request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to the extent legally permitted, promptly (and in any event no later than 2 working days within the receipt of the request) notify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Vendor or Vendor’s Subprocessor receives a request from a Data Subject to exercise the Data Subject’s right of access, right to rectification, restriction of Processing, erasure (“right to be forgotten”), data portability, object to the Processing, or its right not to be subject to an automated individual decision making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Subject Request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 Assistance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Taking into account the nature of the Processing, Vendor shall assist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implementing appropriate technical and organisational measures, insofar as this is possible, for the fulfilment of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obligations, as reasonably understood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respond to requests to exercise Data Subject rights under the applicable data protection laws. In addition, to the extent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its use of the Services, does not have the ability to address a Data Subject Request, Vendor shall, at its cost and expense, and upon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request provide commercially reasonable efforts to assist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responding to such Data Subject Request, to the extent Vendor is legally permitted to do so and the response to such Data Subject Request is required under applicable data protection laws. In any event, Vendor shall not respond to any Data Subject Request without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prior written approval.</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 PERSONNEL</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6i59ndf9cwqd" w:id="6"/>
      <w:bookmarkEnd w:id="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Confidentiality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ensure that its personnel engaged in the Processing of Personal Data are informed of the confidential nature of the Personal Data, have received appropriate training on their responsibilities and have executed written confidentiality agreements. Vendor shall ensure that confidentiality obligations regarding Personal Data survive the termination of the personnel engagement.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Reliability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take commercially reasonable steps to ensure the reliability of any Vendor personnel and Vendor Subprocessor personnel who may have access to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q425mscqz2mf" w:id="7"/>
      <w:bookmarkEnd w:id="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Limitation of access.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ensure in each case that access is strictly limited to those individuals who need to know / access the relevant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as strictly necessary for the purposes of the Principal Agreement, and to comply with applicable laws in the context of that individual's duties to Vendor.</w:t>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heading=h.s61nkhag1wyb" w:id="8"/>
      <w:bookmarkEnd w:id="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SUBPROCESSING</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k2t5paow2vne" w:id="9"/>
      <w:bookmarkEnd w:id="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Appointment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authorises Vendor to appoint (and permit each Subprocessor appointed in accordance with this Clause 4 to appoint) Subprocessors in connection with the Services and in accordance with this Clause 5 and any restrictions in the Principal Agreement.</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ocjvoe96ws85" w:id="10"/>
      <w:bookmarkEnd w:id="1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Current Subprocessors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make available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current list of Subprocessors for the Services, including the identities of those Subprocessors and their country of location in Annex 3. Vendor may continue to use those Subprocessors already engaged by Vendor as at the date of this DPA, subject to Vendor in each case as soon as practicable meeting the obligations set out in this Clause 4. Current list of subprocessors is available on www.ladesk.com/gdpr</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Subprocessors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give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prior written notice of the appointment of any new or replacement Subprocessor, including full details of the Processing to be undertaken by the Subprocessor. If, within 10 days of receipt of that notice,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notifies Vendor in writing of any objections (on reasonable grounds) to the proposed appointment: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lbwjb612wxrd" w:id="11"/>
      <w:bookmarkEnd w: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work with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good faith to make available a commercially reasonable change in the provision of the Services which avoids the use of that proposed Subprocessor; and where such a change cannot be made within 30 days from Vendor's receipt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notice, notwithstanding anything in the Principal Agreement,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by written notice to Vendor with immediate effect terminate the Principal Agreement to the extent that it relates to the Services which require the use of the proposed Subprocessor.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heading=h.mwryszmx9pj" w:id="12"/>
      <w:bookmarkEnd w:id="1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ia2tbuo8egyp" w:id="13"/>
      <w:bookmarkEnd w:id="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into account the state of the art, the costs of implementation and the nature, scope, context and purposes of Processing as well as the risk of varying likelihood and severity for the rights and freedoms of natural persons, Vendor shall, at its cost and expense, in relation to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implement appropriate technical and organizational measures to ensure a level of security appropriate to that risk, including, as appropriate, the measures referred to in the applicable data protection laws, especially Article 32 of the GDPR. In assessing the appropriate level of security, Vendor shall take account in particular of the risks that are presented by Processing, in particular from a Personal Data Breach.</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measures should entail physical, logical and data access control as well as data transfer, instruction, entry, availability and separation control. Vendor shall upon request provide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an overview of all such measures.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agrees and warrants that it has implemented the technical and organisational security measures specified in Annex 2 before processing the personal data transferred.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will not materially decrease the overall security of the Services during a subscription term.</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DATA BREACH</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r8bm5s8ey3vh" w:id="14"/>
      <w:bookmarkEnd w:id="1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notify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without undue delay but in any event no later than 36 hours after Vendor or any Subprocessor becomes aware of a Personal Data Breach affecting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providing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sufficient information to allow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meet its obligations to report or inform Data Subjects of the Personal Data Breach under the applicable data protection laws.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notification shall as a minimum:</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the nature of the Personal Data Breach, the categories and numbers of Data Subjects concerned, and the categories and numbers of Personal Data records concerned;</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communicate the name and contact details of Vendor's data protection officer or other relevant contact from whom more information may be obtained;</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the likely consequences of the Personal Data Breach; and</w:t>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the measures taken or proposed to be taken to address the Personal Data Breach.</w:t>
      </w:r>
    </w:p>
    <w:p w:rsidR="00000000" w:rsidDel="00000000" w:rsidP="00000000" w:rsidRDefault="00000000" w:rsidRPr="00000000" w14:paraId="0000003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n5n76wxdewa" w:id="15"/>
      <w:bookmarkEnd w:id="1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at its cost and expense, co-operate with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take such reasonable commercial steps as are directed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assist in the investigation, mitigation and remediation of each such Personal Data Breach.</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sj7vzaosmzqf" w:id="16"/>
      <w:bookmarkEnd w:id="16"/>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RECORDS, INFORMATION AND AUDIT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make available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request in a timely manner and in any event within 3 working days copies of complete, accurate and up to date written records of all categories of Processing activities carried out on behalf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containing such information as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reasonably requires to demonstrate Vendor’s and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compliance with their respective obligations under applicable data protection laws and this DPA.</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upon reasonable notice and at no cost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allow for and contribute to audits, for the purpose of demonstrating compliance by Vendor and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their respective obligations under applicable data protection laws and under this DPA. Especially, Vendor shall provide and procure reasonable access (where practicable, during normal business hours) to information, documentation, facilities, equipment, premises and sites relating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and/or the records referred to in clause 7.1, and to Vendor Personnel.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promptly resolve, at its own cost and expense, all data protection and security issues discovered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reported to Vendor that reveal a breach or potential breach by Vendor of its obligations under this DPA.</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Vendor is in breach of its obligations under this DPA,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suspend the transfer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to Vendor until the breach is remedied.</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entitled to share any notification, details, records or information provided by or on behalf of Vendor under this DPA with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its professional advisors and/or the Supervisory Authority.</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heading=h.jub0hhabamdc" w:id="17"/>
      <w:bookmarkEnd w:id="1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DELETION OR RETURN OF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PERSONAL DATA</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xl4k24j5lj67" w:id="18"/>
      <w:bookmarkEnd w:id="1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(and shall ensure that all persons acting on its behalf and all Vendor Personnel shall) without delay and in any event within 5 business days, at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written request, either certifiably delete or destroy in a secure and definite/irreversible manner or securely return all originals, copies, reproductions and summaries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Processed by Vendor and its Subprocessors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such form as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reasonably requests after the earlier of:</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end of the provision of the relevant Services related to Processing of such Personal Data; or </w:t>
      </w:r>
    </w:p>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Processing by the Supplier of any Personal Data is no longer required for the purpose of the Supplier’s performance of its relevant obligations under this Agreement,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1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certifiably delete or destroy in a secure and definite/irreversible manner existing copies (unless storage of any data is required by applicable law and, if so, Vendor shall inform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any such requirement). </w:t>
      </w:r>
    </w:p>
    <w:p w:rsidR="00000000" w:rsidDel="00000000" w:rsidP="00000000" w:rsidRDefault="00000000" w:rsidRPr="00000000" w14:paraId="0000004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INDEMNITY</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39wruj2q5bsu" w:id="19"/>
      <w:bookmarkEnd w:id="1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agrees to indemnify and keep indemnified, and defend at its own expense,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against claims, damages or expenses incurred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for which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become liable due to any failure by the Vendor or its employees or agents to comply with any of its obligations under this DPA. Liability is limited to the amount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average monthly payment for the Services.</w:t>
        <w:br w:type="textWrapping"/>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TRANSFER MECHANISMS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absence of an adequacy decision,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may only be transferred to a third country or an International Organisation outside the EEA where there are Appropriate Safeguards. Such transfer (and any onward transfer) shall:</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9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pursuant to a written contract, including equivalent obligations on the Subprocessor in respect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as apply to Vendor under this DPA;</w:t>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9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effected by way of Appropriate Safeguards and, where practicable, the form of these shall be subject to Company’s prior written approval;</w:t>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49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otherwise complies with applicable data protection laws.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 TERMS</w:t>
      </w:r>
    </w:p>
    <w:p w:rsidR="00000000" w:rsidDel="00000000" w:rsidP="00000000" w:rsidRDefault="00000000" w:rsidRPr="00000000" w14:paraId="0000005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Warranty as to Authority</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person signing this DPA hereby represents and warrants that he or she has full authority to execute this Agreement for the Party on whose behalf he or she is signing.</w:t>
        <w:br w:type="textWrapping"/>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heading=h.8dutidyx1m6y" w:id="20"/>
      <w:bookmarkEnd w:id="2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Governing Law and Jurisdiction</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hoxwmekamfsu" w:id="21"/>
      <w:bookmarkEnd w:id="2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Without prejudice to clauses 7 (Mediation and Jurisdiction) and 9 (Governing Law) of the Standard Contractual Clauses: the Parties to this DPA hereby submit to Slovak courts, including disputes regarding its existence, validity or termination or the consequences of its nullity; and this DPA and all non-contractual or other obligations arising out of or in connection with it are governed by the laws of Slovakia.</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 Of Precedence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wlhadbkmdqnk" w:id="22"/>
      <w:bookmarkEnd w:id="2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Nothing in this DPA reduces Vendor's obligations under the Principal Agreement in relation to the protection of Personal Data or permits Vendor to Process (or permit the Processing of) Personal Data in a manner which is prohibited by the Principal Agreement. In the event of any conflict or inconsistency between this DPA and the Standard Contractual Clauses, the Standard Contractual Clauses shall prevail.</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WITNESS WHEREOF, this DPA is entered into and becomes a binding part of the Principal Agreement with effect from the date first set out above, save for the provisions introduced by the GDPR that became effective from 25</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2018.</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Signature ______________________________</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_________________________________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__________________________________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Signed ____________________________</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Quality Unit, s.r.o.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Signature ______________________________</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Andrej Harsani</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CEO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Signed ____________________________</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ANNEX 1: DETAILS OF PROCESSING OF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PERSONAL DATA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Annex  includes certain details of the Processing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as required by Article 28(3) GDPR.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Subject matter and duration of the Processing of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Personal Data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subject matter and duration of the Processing of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are set out in the Principal Agreement and this DPA. The duration of the processing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equals the duration of use of the Service.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nature and purpose of the Processing of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Personal Data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customer services related to the Service.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types of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Personal Data to be Processed</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owner - Name, Email, IP Address, Cookies, Logs, Payment information, Additional information collected by Data controller stored in their account.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Employees - Name, Email, IP Address, Cookies, Logs, Additional information collected by Data controller stored in their account.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users of the Services - Name, Email, IP Address, Cookies, Additional information collected by Data controller stored in their account.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categories of Data Subject to whom the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Personal Data relates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owner, Employees, End users of the Services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3"/>
        </w:tabs>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obligations and rights of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tab/>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obligations and rights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 set out in the Principal Agreement and this DPA.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ANNEX 2: TECHNICAL AND ORGANISATIONAL SECURITY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Vulnerability Scans</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performs both external and internal vulnerability scans. External scans include looking for ways in which malicious outsiders can exploit the Vendor and the Service, and internal scans include looking for threats inside the organisation, such as the potential for privilege abuse.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Penetration Testing</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employs a professional penetration testing team which performs a controlled form of hacking in which they work on behalf of the Vendor, use the same techniques as a criminal hacker to search for vulnerabilities in the Service or other Vendor applications.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Audit</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is a subject to security audits performed by companies specialized in security audits for cloud software products.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Access Control Management </w:t>
      </w:r>
    </w:p>
    <w:p w:rsidR="00000000" w:rsidDel="00000000" w:rsidP="00000000" w:rsidRDefault="00000000" w:rsidRPr="00000000" w14:paraId="0000007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role-based access rights management is in place together with the implementation of procedures to maintain a need-to-have; need-to-know basis during provisioning. Ensure timely revocation of leaver’s accounts together with protecting all access to business information via secure log-on procedures.</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Access rights are approved prior to assignment and are reviewed periodically.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only authorized personnel has access to process the personal data of the Company. The access is limited via unique username, password and enabled 2FA.</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Entry control</w:t>
      </w:r>
    </w:p>
    <w:p w:rsidR="00000000" w:rsidDel="00000000" w:rsidP="00000000" w:rsidRDefault="00000000" w:rsidRPr="00000000" w14:paraId="000000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only authorised persons are given access to the office premises of the Vendor. The access is granted on issuing and registering the access cards. The access cards are regularly evaluated and checked.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security of data centers is ensured via 24/7 manned security, CCTV video surveillance, multifactor identification and security breach alarms.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Asset Management</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an asset inventory is in place for all assets, identifying owner and location of assets.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Cryptography</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storage of sensitive information such as passwords of users is done by using strong hashing cryptographic primitives such as hashing with salted values.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the transmission of client information is done via HTTPS using industry recommended protocols.</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Operational Security</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adequate backup, backup testing and restore procedures are in affect. </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Information is backed up, and backups are regularly tested to ensure availability of Personal Data.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any information that is backed up and taken off site, is encrypted.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Incident Management</w:t>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proper information security incident management policies and procedures are in place detailing step-by-step processes on how incidents are dealt with, documented and communicated. </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proper classification guidelines are implemented to distinguish between incidents affecting availability of Personal Data and incidents affecting the confidentiality, integrity and availability of information.</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Communications Security</w:t>
      </w:r>
    </w:p>
    <w:p w:rsidR="00000000" w:rsidDel="00000000" w:rsidP="00000000" w:rsidRDefault="00000000" w:rsidRPr="00000000" w14:paraId="000000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Transfer of Information is encrypted using secured HTTPS protocol.</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encryption (using industry recommended protocols and ciphers) during any Information transferred over the internal network, as well as any transmission of client information.</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Vulnerability Management</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both external and internal vulnerability scans are performed. External scans include looking for ways in which malicious outsiders can exploit the Vendor and the Service, and internal scans include looking for threats inside the organisation, such as the potential for privilege abuse.</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a professional penetration testing team which performs a controlled form of hacking in which they work on behalf of the Vendor, use the same techniques as a criminal hacker to search for vulnerabilities in the Service or other Vendor applications.</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the Vendor is a subject to security audits performed by companies specialized in security audits for cloud software products.</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ANNEX 3: ADDITIONAL DETAILS REGARDING SUBPROCESSORS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Quality Unit, s.r.o. provides its Service (referred to here as "LiveAgent") to You through its web site located at *.ladesk.com (URL of your account). Quality Unit, s.r.o. uses certain subprocessors to assist it in providing the LiveAgent Service.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is a Subprocessor</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subprocessor is a third party data processor engaged by LiveAgent, who has or potentially will have access to or process Service Data (which may contain Personal Data). LiveAgent uses various types of sub-processors to perform different functions as explained in the tables below.</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Due Diligence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LiveAgent undertakes to use a commercially reasonable selection process by which it evaluates the security, privacy and confidentiality practices of proposed subprocessors that will or may have access to or process Service Data.</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LiveAgent owns or controls access to the infrastructure that LiveAgent uses to host Service Data submitted to the Services, other than as set forth below. Currently, the LiveAgent production systems for the Services are located in co-location facilities in the United States and Europe.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accounts are established in one of these regions based on where the Customer is located; the Customer's Service Data subsequently remains in that region unless agreed between Customer and LiveAgent, but may be shifted among data centers within a region to ensure performance and availability of the Services. The following table describes the countries and legal entities engaged in the storage of Service Data by LiveAgent.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26.0" w:type="dxa"/>
        <w:jc w:val="left"/>
        <w:tblLayout w:type="fixed"/>
        <w:tblLook w:val="0600"/>
      </w:tblPr>
      <w:tblGrid>
        <w:gridCol w:w="3008"/>
        <w:gridCol w:w="3009"/>
        <w:gridCol w:w="3009"/>
        <w:tblGridChange w:id="0">
          <w:tblGrid>
            <w:gridCol w:w="3008"/>
            <w:gridCol w:w="3009"/>
            <w:gridCol w:w="300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Subcontracting company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center location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w:t>
            </w:r>
          </w:p>
        </w:tc>
      </w:tr>
      <w:tr>
        <w:trPr>
          <w:cantSplit w:val="0"/>
          <w:trHeight w:val="40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Client-specific subprocessors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Amazon Web Services, </w:t>
            </w:r>
            <w:r w:rsidDel="00000000" w:rsidR="00000000" w:rsidRPr="00000000">
              <w:rPr>
                <w:rFonts w:ascii="Arial" w:cs="Arial" w:eastAsia="Arial" w:hAnsi="Arial"/>
                <w:b w:val="1"/>
                <w:sz w:val="20"/>
                <w:szCs w:val="20"/>
                <w:rtl w:val="0"/>
              </w:rPr>
              <w:t xml:space="preserve">SÁRL</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United States - N. California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Infrastructure subprocessor – Servers</w:t>
              <w:br w:type="textWrapping"/>
              <w:t xml:space="preserve">Data center facilities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Amazon Web Services EMEA SARL</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United States - N. California</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Infrastructure subprocessor – Servers</w:t>
              <w:br w:type="textWrapping"/>
              <w:t xml:space="preserve">Data center facilities</w:t>
            </w:r>
          </w:p>
        </w:tc>
      </w:tr>
    </w:tb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026.0" w:type="dxa"/>
        <w:jc w:val="left"/>
        <w:tblLayout w:type="fixed"/>
        <w:tblLook w:val="0600"/>
      </w:tblPr>
      <w:tblGrid>
        <w:gridCol w:w="3008"/>
        <w:gridCol w:w="3009"/>
        <w:gridCol w:w="3009"/>
        <w:tblGridChange w:id="0">
          <w:tblGrid>
            <w:gridCol w:w="3008"/>
            <w:gridCol w:w="3009"/>
            <w:gridCol w:w="3009"/>
          </w:tblGrid>
        </w:tblGridChange>
      </w:tblGrid>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Vendor-specific subprocessors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Subcontracting company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 location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Quality Unit, LLC</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United States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subprocessor - Services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Quality Unit, LLC is a Quality Unit member entity. Quality Unit, LLC functions as a subprocessor to provide the LiveAgent Service.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Quality Unit Ukraine, LLC</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Ukraine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subprocessor - Services</w:t>
              <w:br w:type="textWrapping"/>
              <w:br w:type="textWrapping"/>
              <w:t xml:space="preserve">Quality Unit Ukraine functions as a subcontractor to provide the LiveAgent Service.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Twilio, Inc.</w:t>
              <w:br w:type="textWrapping"/>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United States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LiveAgent uses Twillio as their VoIP provider.</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Makara Partner, s. r. 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Slovakia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accounting may access Service Data in order to create and process invoices.</w:t>
            </w:r>
          </w:p>
        </w:tc>
      </w:tr>
    </w:tb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mt6hdcmempp6" w:id="23"/>
      <w:bookmarkEnd w:id="23"/>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1403985" cy="35369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3985" cy="353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lowerLetter"/>
      <w:lvlText w:val="%1)"/>
      <w:lvlJc w:val="left"/>
      <w:pPr>
        <w:ind w:left="1496" w:hanging="360"/>
      </w:pPr>
      <w:rPr/>
    </w:lvl>
    <w:lvl w:ilvl="1">
      <w:start w:val="1"/>
      <w:numFmt w:val="lowerLetter"/>
      <w:lvlText w:val="%2."/>
      <w:lvlJc w:val="left"/>
      <w:pPr>
        <w:ind w:left="2216" w:hanging="360"/>
      </w:pPr>
      <w:rPr/>
    </w:lvl>
    <w:lvl w:ilvl="2">
      <w:start w:val="1"/>
      <w:numFmt w:val="lowerRoman"/>
      <w:lvlText w:val="%3."/>
      <w:lvlJc w:val="right"/>
      <w:pPr>
        <w:ind w:left="2936" w:hanging="180"/>
      </w:pPr>
      <w:rPr/>
    </w:lvl>
    <w:lvl w:ilvl="3">
      <w:start w:val="1"/>
      <w:numFmt w:val="decimal"/>
      <w:lvlText w:val="%4."/>
      <w:lvlJc w:val="left"/>
      <w:pPr>
        <w:ind w:left="3656" w:hanging="360"/>
      </w:pPr>
      <w:rPr/>
    </w:lvl>
    <w:lvl w:ilvl="4">
      <w:start w:val="1"/>
      <w:numFmt w:val="lowerLetter"/>
      <w:lvlText w:val="%5."/>
      <w:lvlJc w:val="left"/>
      <w:pPr>
        <w:ind w:left="4376" w:hanging="360"/>
      </w:pPr>
      <w:rPr/>
    </w:lvl>
    <w:lvl w:ilvl="5">
      <w:start w:val="1"/>
      <w:numFmt w:val="lowerRoman"/>
      <w:lvlText w:val="%6."/>
      <w:lvlJc w:val="right"/>
      <w:pPr>
        <w:ind w:left="5096" w:hanging="180"/>
      </w:pPr>
      <w:rPr/>
    </w:lvl>
    <w:lvl w:ilvl="6">
      <w:start w:val="1"/>
      <w:numFmt w:val="decimal"/>
      <w:lvlText w:val="%7."/>
      <w:lvlJc w:val="left"/>
      <w:pPr>
        <w:ind w:left="5816" w:hanging="360"/>
      </w:pPr>
      <w:rPr/>
    </w:lvl>
    <w:lvl w:ilvl="7">
      <w:start w:val="1"/>
      <w:numFmt w:val="lowerLetter"/>
      <w:lvlText w:val="%8."/>
      <w:lvlJc w:val="left"/>
      <w:pPr>
        <w:ind w:left="6536" w:hanging="360"/>
      </w:pPr>
      <w:rPr/>
    </w:lvl>
    <w:lvl w:ilvl="8">
      <w:start w:val="1"/>
      <w:numFmt w:val="lowerRoman"/>
      <w:lvlText w:val="%9."/>
      <w:lvlJc w:val="right"/>
      <w:pPr>
        <w:ind w:left="7256" w:hanging="180"/>
      </w:pPr>
      <w:rPr/>
    </w:lvl>
  </w:abstractNum>
  <w:abstractNum w:abstractNumId="10">
    <w:lvl w:ilvl="0">
      <w:start w:val="1"/>
      <w:numFmt w:val="lowerLetter"/>
      <w:lvlText w:val="%1)"/>
      <w:lvlJc w:val="left"/>
      <w:pPr>
        <w:ind w:left="1077" w:hanging="360"/>
      </w:pPr>
      <w:rPr/>
    </w:lvl>
    <w:lvl w:ilvl="1">
      <w:start w:val="1"/>
      <w:numFmt w:val="lowerLetter"/>
      <w:lvlText w:val="%2."/>
      <w:lvlJc w:val="left"/>
      <w:pPr>
        <w:ind w:left="1797" w:hanging="360"/>
      </w:pPr>
      <w:rPr/>
    </w:lvl>
    <w:lvl w:ilvl="2">
      <w:start w:val="1"/>
      <w:numFmt w:val="lowerRoman"/>
      <w:lvlText w:val="%3."/>
      <w:lvlJc w:val="right"/>
      <w:pPr>
        <w:ind w:left="2517" w:hanging="180"/>
      </w:pPr>
      <w:rPr/>
    </w:lvl>
    <w:lvl w:ilvl="3">
      <w:start w:val="1"/>
      <w:numFmt w:val="decimal"/>
      <w:lvlText w:val="%4."/>
      <w:lvlJc w:val="left"/>
      <w:pPr>
        <w:ind w:left="3237" w:hanging="360"/>
      </w:pPr>
      <w:rPr/>
    </w:lvl>
    <w:lvl w:ilvl="4">
      <w:start w:val="1"/>
      <w:numFmt w:val="lowerLetter"/>
      <w:lvlText w:val="%5."/>
      <w:lvlJc w:val="left"/>
      <w:pPr>
        <w:ind w:left="3957" w:hanging="360"/>
      </w:pPr>
      <w:rPr/>
    </w:lvl>
    <w:lvl w:ilvl="5">
      <w:start w:val="1"/>
      <w:numFmt w:val="lowerRoman"/>
      <w:lvlText w:val="%6."/>
      <w:lvlJc w:val="right"/>
      <w:pPr>
        <w:ind w:left="4677" w:hanging="180"/>
      </w:pPr>
      <w:rPr/>
    </w:lvl>
    <w:lvl w:ilvl="6">
      <w:start w:val="1"/>
      <w:numFmt w:val="decimal"/>
      <w:lvlText w:val="%7."/>
      <w:lvlJc w:val="left"/>
      <w:pPr>
        <w:ind w:left="5397" w:hanging="360"/>
      </w:pPr>
      <w:rPr/>
    </w:lvl>
    <w:lvl w:ilvl="7">
      <w:start w:val="1"/>
      <w:numFmt w:val="lowerLetter"/>
      <w:lvlText w:val="%8."/>
      <w:lvlJc w:val="left"/>
      <w:pPr>
        <w:ind w:left="6117" w:hanging="360"/>
      </w:pPr>
      <w:rPr/>
    </w:lvl>
    <w:lvl w:ilvl="8">
      <w:start w:val="1"/>
      <w:numFmt w:val="lowerRoman"/>
      <w:lvlText w:val="%9."/>
      <w:lvlJc w:val="right"/>
      <w:pPr>
        <w:ind w:left="6837"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3"/>
      </w:pPr>
      <w:rPr>
        <w:b w:val="1"/>
      </w:rPr>
    </w:lvl>
    <w:lvl w:ilvl="1">
      <w:start w:val="1"/>
      <w:numFmt w:val="decimal"/>
      <w:lvlText w:val="%1.%2."/>
      <w:lvlJc w:val="left"/>
      <w:pPr>
        <w:ind w:left="720" w:hanging="363"/>
      </w:pPr>
      <w:rPr>
        <w:b w:val="0"/>
        <w:i w:val="0"/>
        <w:color w:val="000000"/>
      </w:rPr>
    </w:lvl>
    <w:lvl w:ilvl="2">
      <w:start w:val="1"/>
      <w:numFmt w:val="decimal"/>
      <w:lvlText w:val="%1.%2.%3."/>
      <w:lvlJc w:val="left"/>
      <w:pPr>
        <w:ind w:left="720" w:hanging="363"/>
      </w:pPr>
      <w:rPr/>
    </w:lvl>
    <w:lvl w:ilvl="3">
      <w:start w:val="1"/>
      <w:numFmt w:val="decimal"/>
      <w:lvlText w:val="%1.%2.%3.%4."/>
      <w:lvlJc w:val="left"/>
      <w:pPr>
        <w:ind w:left="720" w:hanging="363"/>
      </w:pPr>
      <w:rPr/>
    </w:lvl>
    <w:lvl w:ilvl="4">
      <w:start w:val="1"/>
      <w:numFmt w:val="decimal"/>
      <w:lvlText w:val="%1.%2.%3.%4.%5."/>
      <w:lvlJc w:val="left"/>
      <w:pPr>
        <w:ind w:left="720" w:hanging="363"/>
      </w:pPr>
      <w:rPr/>
    </w:lvl>
    <w:lvl w:ilvl="5">
      <w:start w:val="1"/>
      <w:numFmt w:val="decimal"/>
      <w:lvlText w:val="%1.%2.%3.%4.%5.%6."/>
      <w:lvlJc w:val="left"/>
      <w:pPr>
        <w:ind w:left="720" w:hanging="363"/>
      </w:pPr>
      <w:rPr/>
    </w:lvl>
    <w:lvl w:ilvl="6">
      <w:start w:val="1"/>
      <w:numFmt w:val="decimal"/>
      <w:lvlText w:val="%1.%2.%3.%4.%5.%6.%7."/>
      <w:lvlJc w:val="left"/>
      <w:pPr>
        <w:ind w:left="720" w:hanging="363"/>
      </w:pPr>
      <w:rPr/>
    </w:lvl>
    <w:lvl w:ilvl="7">
      <w:start w:val="1"/>
      <w:numFmt w:val="decimal"/>
      <w:lvlText w:val="%1.%2.%3.%4.%5.%6.%7.%8."/>
      <w:lvlJc w:val="left"/>
      <w:pPr>
        <w:ind w:left="720" w:hanging="363"/>
      </w:pPr>
      <w:rPr/>
    </w:lvl>
    <w:lvl w:ilvl="8">
      <w:start w:val="1"/>
      <w:numFmt w:val="decimal"/>
      <w:lvlText w:val="%1.%2.%3.%4.%5.%6.%7.%8.%9."/>
      <w:lvlJc w:val="left"/>
      <w:pPr>
        <w:ind w:left="720" w:hanging="363"/>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240" w:lineRule="auto"/>
    </w:pPr>
    <w:rPr>
      <w:b w:val="1"/>
      <w:sz w:val="48"/>
      <w:szCs w:val="48"/>
    </w:rPr>
  </w:style>
  <w:style w:type="paragraph" w:styleId="Heading2">
    <w:name w:val="heading 2"/>
    <w:basedOn w:val="Normal"/>
    <w:next w:val="Normal"/>
    <w:pPr>
      <w:keepNext w:val="1"/>
      <w:keepLines w:val="1"/>
      <w:spacing w:after="80" w:before="360" w:line="240" w:lineRule="auto"/>
    </w:pPr>
    <w:rPr>
      <w:b w:val="1"/>
      <w:sz w:val="36"/>
      <w:szCs w:val="36"/>
    </w:rPr>
  </w:style>
  <w:style w:type="paragraph" w:styleId="Heading3">
    <w:name w:val="heading 3"/>
    <w:basedOn w:val="Normal"/>
    <w:next w:val="Normal"/>
    <w:pPr>
      <w:keepNext w:val="1"/>
      <w:keepLines w:val="1"/>
      <w:spacing w:after="80" w:before="280" w:line="240" w:lineRule="auto"/>
    </w:pPr>
    <w:rPr>
      <w:b w:val="1"/>
      <w:sz w:val="28"/>
      <w:szCs w:val="28"/>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40" w:before="220" w:line="240" w:lineRule="auto"/>
    </w:pPr>
    <w:rPr>
      <w:b w:val="1"/>
      <w:sz w:val="22"/>
      <w:szCs w:val="22"/>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keepLines w:val="1"/>
      <w:spacing w:after="120" w:before="480" w:line="240" w:lineRule="auto"/>
    </w:pPr>
    <w:rPr>
      <w:b w:val="1"/>
      <w:sz w:val="72"/>
      <w:szCs w:val="72"/>
    </w:rPr>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WszBVUO8ZVX5jvCovO+jpSSOqw==">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